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tblpY="-495"/>
        <w:tblW w:w="8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543" w:type="dxa"/>
            <w:vAlign w:val="top"/>
          </w:tcPr>
          <w:p>
            <w:pPr>
              <w:pStyle w:val="5"/>
              <w:rPr>
                <w:rFonts w:ascii="黑体" w:hAnsi="黑体" w:eastAsia="黑体"/>
                <w:cap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43" w:type="dxa"/>
            <w:tcBorders>
              <w:bottom w:val="single" w:color="4F81BD" w:sz="4" w:space="0"/>
            </w:tcBorders>
            <w:vAlign w:val="center"/>
          </w:tcPr>
          <w:p>
            <w:pPr>
              <w:pStyle w:val="5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hint="eastAsia" w:ascii="Cambria" w:hAnsi="Cambria"/>
                <w:b/>
                <w:sz w:val="80"/>
                <w:szCs w:val="80"/>
              </w:rPr>
              <w:t>201</w:t>
            </w:r>
            <w:r>
              <w:rPr>
                <w:rFonts w:hint="eastAsia" w:ascii="Cambria" w:hAnsi="Cambria"/>
                <w:b/>
                <w:sz w:val="80"/>
                <w:szCs w:val="80"/>
                <w:lang w:val="en-US" w:eastAsia="zh-CN"/>
              </w:rPr>
              <w:t>7</w:t>
            </w:r>
            <w:r>
              <w:rPr>
                <w:rFonts w:hint="eastAsia" w:ascii="Cambria" w:hAnsi="Cambria"/>
                <w:b/>
                <w:sz w:val="80"/>
                <w:szCs w:val="80"/>
              </w:rPr>
              <w:t>年部门决算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43" w:type="dxa"/>
            <w:tcBorders>
              <w:top w:val="single" w:color="4F81BD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Cambria" w:hAnsi="Cambria" w:eastAsia="宋体"/>
                <w:sz w:val="44"/>
                <w:szCs w:val="4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43" w:type="dxa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  <w:p>
            <w:pPr>
              <w:pStyle w:val="5"/>
              <w:jc w:val="center"/>
              <w:rPr>
                <w:rFonts w:hint="eastAsia"/>
              </w:rPr>
            </w:pPr>
          </w:p>
          <w:p>
            <w:pPr>
              <w:pStyle w:val="5"/>
              <w:jc w:val="center"/>
              <w:rPr>
                <w:rFonts w:hint="eastAsia"/>
              </w:rPr>
            </w:pPr>
          </w:p>
          <w:p>
            <w:pPr>
              <w:pStyle w:val="5"/>
              <w:jc w:val="center"/>
              <w:rPr>
                <w:rFonts w:hint="eastAsia"/>
              </w:rPr>
            </w:pPr>
          </w:p>
          <w:p>
            <w:pPr>
              <w:pStyle w:val="5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543" w:type="dxa"/>
            <w:vAlign w:val="center"/>
          </w:tcPr>
          <w:p>
            <w:pPr>
              <w:pStyle w:val="5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单位公章：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萍乡市湘东中学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43" w:type="dxa"/>
            <w:vAlign w:val="center"/>
          </w:tcPr>
          <w:p>
            <w:pPr>
              <w:pStyle w:val="5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报送日期：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2018.10.11</w:t>
            </w:r>
          </w:p>
        </w:tc>
      </w:tr>
    </w:tbl>
    <w:p>
      <w:pPr>
        <w:spacing w:line="600" w:lineRule="exact"/>
        <w:jc w:val="center"/>
        <w:rPr>
          <w:rFonts w:hint="eastAsia" w:ascii="黑体" w:hAnsi="黑体" w:eastAsia="黑体"/>
          <w:sz w:val="44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36"/>
          <w:lang w:eastAsia="zh-CN"/>
        </w:rPr>
      </w:pPr>
    </w:p>
    <w:tbl>
      <w:tblPr>
        <w:tblStyle w:val="3"/>
        <w:tblpPr w:leftFromText="187" w:rightFromText="187" w:vertAnchor="page" w:horzAnchor="margin" w:tblpX="-343" w:tblpY="12961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555" w:type="dxa"/>
            <w:vAlign w:val="top"/>
          </w:tcPr>
          <w:p>
            <w:pPr>
              <w:pStyle w:val="5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单位负责人（签章）： 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吴放其</w:t>
            </w:r>
          </w:p>
          <w:p>
            <w:pPr>
              <w:pStyle w:val="5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</w:t>
            </w:r>
          </w:p>
          <w:p>
            <w:pPr>
              <w:pStyle w:val="5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财务负责人（签章）：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贺建军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经办人（签章）：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谭嘉语</w:t>
            </w:r>
          </w:p>
        </w:tc>
      </w:tr>
    </w:tbl>
    <w:p>
      <w:pPr>
        <w:spacing w:line="600" w:lineRule="exact"/>
        <w:jc w:val="both"/>
        <w:rPr>
          <w:rFonts w:hint="eastAsia" w:ascii="黑体" w:hAnsi="黑体" w:eastAsia="黑体"/>
          <w:sz w:val="44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36"/>
        </w:rPr>
      </w:pPr>
      <w:r>
        <w:rPr>
          <w:rFonts w:hint="eastAsia" w:ascii="黑体" w:hAnsi="黑体" w:eastAsia="黑体"/>
          <w:sz w:val="44"/>
          <w:szCs w:val="36"/>
          <w:lang w:eastAsia="zh-CN"/>
        </w:rPr>
        <w:t>湘东中学</w:t>
      </w:r>
      <w:r>
        <w:rPr>
          <w:rFonts w:hint="eastAsia" w:ascii="黑体" w:eastAsia="黑体"/>
          <w:sz w:val="44"/>
          <w:szCs w:val="36"/>
        </w:rPr>
        <w:t>2017年度部门决算</w:t>
      </w:r>
    </w:p>
    <w:p>
      <w:pPr>
        <w:spacing w:line="600" w:lineRule="exact"/>
        <w:jc w:val="center"/>
        <w:rPr>
          <w:rFonts w:hint="eastAsia"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湘东中学</w:t>
      </w:r>
      <w:r>
        <w:rPr>
          <w:rFonts w:hint="eastAsia" w:ascii="黑体" w:hAnsi="黑体" w:eastAsia="黑体"/>
          <w:b/>
          <w:sz w:val="32"/>
          <w:szCs w:val="32"/>
        </w:rPr>
        <w:t>概况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一、部门主要职责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萍乡市湘东中学是萍乡市重点高中之一，主要职责是：</w:t>
      </w:r>
      <w:r>
        <w:rPr>
          <w:rFonts w:hint="eastAsia" w:ascii="宋体" w:hAnsi="宋体"/>
          <w:sz w:val="32"/>
          <w:szCs w:val="32"/>
        </w:rPr>
        <w:t>实施高中学历教育，促进基础教育发展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lang w:eastAsia="zh-CN"/>
        </w:rPr>
        <w:t>二、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部门基本情况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萍乡市湘东中学编制人数</w:t>
      </w:r>
      <w:r>
        <w:rPr>
          <w:rFonts w:hint="eastAsia" w:ascii="仿宋" w:hAnsi="仿宋" w:eastAsia="仿宋"/>
          <w:sz w:val="32"/>
          <w:lang w:val="en-US" w:eastAsia="zh-CN"/>
        </w:rPr>
        <w:t>403</w:t>
      </w:r>
      <w:r>
        <w:rPr>
          <w:rFonts w:hint="eastAsia" w:ascii="仿宋" w:hAnsi="仿宋" w:eastAsia="仿宋"/>
          <w:sz w:val="32"/>
        </w:rPr>
        <w:t>人，其中：全额拨款事业编制</w:t>
      </w:r>
      <w:r>
        <w:rPr>
          <w:rFonts w:hint="eastAsia" w:ascii="仿宋" w:hAnsi="仿宋" w:eastAsia="仿宋"/>
          <w:sz w:val="32"/>
          <w:lang w:val="en-US" w:eastAsia="zh-CN"/>
        </w:rPr>
        <w:t>403</w:t>
      </w:r>
      <w:r>
        <w:rPr>
          <w:rFonts w:hint="eastAsia" w:ascii="仿宋" w:hAnsi="仿宋" w:eastAsia="仿宋"/>
          <w:sz w:val="32"/>
        </w:rPr>
        <w:t>人；实有人数</w:t>
      </w:r>
      <w:r>
        <w:rPr>
          <w:rFonts w:hint="eastAsia" w:ascii="仿宋" w:hAnsi="仿宋" w:eastAsia="仿宋"/>
          <w:sz w:val="32"/>
          <w:lang w:val="en-US" w:eastAsia="zh-CN"/>
        </w:rPr>
        <w:t>403</w:t>
      </w:r>
      <w:r>
        <w:rPr>
          <w:rFonts w:hint="eastAsia" w:ascii="仿宋" w:hAnsi="仿宋" w:eastAsia="仿宋"/>
          <w:sz w:val="32"/>
        </w:rPr>
        <w:t>人，其中：在职人数</w:t>
      </w:r>
      <w:r>
        <w:rPr>
          <w:rFonts w:hint="eastAsia" w:ascii="仿宋" w:hAnsi="仿宋" w:eastAsia="仿宋"/>
          <w:sz w:val="32"/>
          <w:lang w:val="en-US" w:eastAsia="zh-CN"/>
        </w:rPr>
        <w:t>319</w:t>
      </w:r>
      <w:r>
        <w:rPr>
          <w:rFonts w:hint="eastAsia" w:ascii="仿宋" w:hAnsi="仿宋" w:eastAsia="仿宋"/>
          <w:sz w:val="32"/>
        </w:rPr>
        <w:t>人,退休人员</w:t>
      </w:r>
      <w:r>
        <w:rPr>
          <w:rFonts w:hint="eastAsia" w:ascii="仿宋" w:hAnsi="仿宋" w:eastAsia="仿宋"/>
          <w:sz w:val="32"/>
          <w:lang w:val="en-US" w:eastAsia="zh-CN"/>
        </w:rPr>
        <w:t>84</w:t>
      </w:r>
      <w:r>
        <w:rPr>
          <w:rFonts w:hint="eastAsia" w:ascii="仿宋" w:hAnsi="仿宋" w:eastAsia="仿宋"/>
          <w:sz w:val="32"/>
        </w:rPr>
        <w:t>人。</w:t>
      </w:r>
    </w:p>
    <w:p>
      <w:pPr>
        <w:widowControl/>
        <w:spacing w:line="60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2017年度部门决算表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一、收入支出决算总表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二、收入决算表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四、财政拨款收入支出决算总表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五、一般公共预算财政拨款支出决算表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六、一般公共预算财政拨款基本支出决算表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七、一般公共预算财政拨款“三公”经费支出决算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八、政府性基金预算财政拨款收入支出决算表</w:t>
      </w:r>
    </w:p>
    <w:p>
      <w:pPr>
        <w:widowControl/>
        <w:spacing w:line="60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九、国有资产占用情况表</w:t>
      </w:r>
    </w:p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第三部分  2017年度部门决算情况说明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一、收入决算情况说明</w:t>
      </w:r>
    </w:p>
    <w:p>
      <w:pPr>
        <w:ind w:firstLine="63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本部门201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 xml:space="preserve">年度收入总计 </w:t>
      </w:r>
      <w:r>
        <w:rPr>
          <w:rFonts w:hint="eastAsia" w:ascii="宋体" w:hAnsi="宋体"/>
          <w:sz w:val="28"/>
          <w:szCs w:val="28"/>
          <w:lang w:val="en-US" w:eastAsia="zh-CN"/>
        </w:rPr>
        <w:t>5601.94</w:t>
      </w:r>
      <w:r>
        <w:rPr>
          <w:rFonts w:hint="eastAsia" w:ascii="宋体" w:hAnsi="宋体"/>
          <w:sz w:val="28"/>
          <w:szCs w:val="28"/>
        </w:rPr>
        <w:t xml:space="preserve">万元，上年无结转和结余；本年收入合计 </w:t>
      </w:r>
      <w:r>
        <w:rPr>
          <w:rFonts w:hint="eastAsia" w:ascii="宋体" w:hAnsi="宋体"/>
          <w:sz w:val="28"/>
          <w:szCs w:val="28"/>
          <w:lang w:val="en-US" w:eastAsia="zh-CN"/>
        </w:rPr>
        <w:t>5601.94</w:t>
      </w:r>
      <w:r>
        <w:rPr>
          <w:rFonts w:hint="eastAsia" w:ascii="宋体" w:hAnsi="宋体"/>
          <w:sz w:val="28"/>
          <w:szCs w:val="28"/>
        </w:rPr>
        <w:t xml:space="preserve"> 万元，较上年</w:t>
      </w:r>
      <w:r>
        <w:rPr>
          <w:rFonts w:hint="eastAsia" w:ascii="宋体" w:hAnsi="宋体"/>
          <w:sz w:val="28"/>
          <w:szCs w:val="28"/>
          <w:lang w:eastAsia="zh-CN"/>
        </w:rPr>
        <w:t>增长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13.2</w:t>
      </w:r>
      <w:r>
        <w:rPr>
          <w:rFonts w:hint="eastAsia" w:ascii="宋体" w:hAnsi="宋体"/>
          <w:sz w:val="28"/>
          <w:szCs w:val="28"/>
        </w:rPr>
        <w:t>%，主要原因是：</w:t>
      </w:r>
      <w:r>
        <w:rPr>
          <w:rFonts w:hint="eastAsia" w:ascii="宋体" w:hAnsi="宋体"/>
          <w:sz w:val="28"/>
          <w:szCs w:val="28"/>
          <w:lang w:eastAsia="zh-CN"/>
        </w:rPr>
        <w:t>事业收入较去年略有增长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30"/>
        <w:jc w:val="left"/>
        <w:rPr>
          <w:rFonts w:hint="eastAsia" w:ascii="仿宋" w:hAnsi="仿宋" w:eastAsia="宋体"/>
          <w:sz w:val="32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本年收入的具体构成为：财政拨款收入</w:t>
      </w:r>
      <w:r>
        <w:rPr>
          <w:rFonts w:hint="eastAsia" w:ascii="宋体" w:hAnsi="宋体"/>
          <w:sz w:val="28"/>
          <w:szCs w:val="28"/>
          <w:lang w:val="en-US" w:eastAsia="zh-CN"/>
        </w:rPr>
        <w:t>3585.73</w:t>
      </w:r>
      <w:r>
        <w:rPr>
          <w:rFonts w:hint="eastAsia" w:ascii="宋体" w:hAnsi="宋体"/>
          <w:sz w:val="28"/>
          <w:szCs w:val="28"/>
        </w:rPr>
        <w:t xml:space="preserve">万元，占 </w:t>
      </w:r>
      <w:r>
        <w:rPr>
          <w:rFonts w:hint="eastAsia" w:ascii="宋体" w:hAnsi="宋体"/>
          <w:sz w:val="28"/>
          <w:szCs w:val="28"/>
          <w:lang w:val="en-US" w:eastAsia="zh-CN"/>
        </w:rPr>
        <w:t>64</w:t>
      </w:r>
      <w:r>
        <w:rPr>
          <w:rFonts w:hint="eastAsia" w:ascii="宋体" w:hAnsi="宋体"/>
          <w:sz w:val="28"/>
          <w:szCs w:val="28"/>
        </w:rPr>
        <w:t>% ；</w:t>
      </w:r>
      <w:r>
        <w:rPr>
          <w:rFonts w:hint="eastAsia" w:ascii="宋体" w:hAnsi="宋体"/>
          <w:sz w:val="28"/>
          <w:szCs w:val="28"/>
          <w:lang w:eastAsia="zh-CN"/>
        </w:rPr>
        <w:t>上级补助收入</w:t>
      </w:r>
      <w:r>
        <w:rPr>
          <w:rFonts w:hint="eastAsia" w:ascii="宋体" w:hAnsi="宋体"/>
          <w:sz w:val="28"/>
          <w:szCs w:val="28"/>
          <w:lang w:val="en-US" w:eastAsia="zh-CN"/>
        </w:rPr>
        <w:t>62.81万元，占1.75%，</w:t>
      </w:r>
      <w:r>
        <w:rPr>
          <w:rFonts w:hint="eastAsia" w:ascii="宋体" w:hAnsi="宋体"/>
          <w:sz w:val="28"/>
          <w:szCs w:val="28"/>
        </w:rPr>
        <w:t>事业收入1</w:t>
      </w:r>
      <w:r>
        <w:rPr>
          <w:rFonts w:hint="eastAsia" w:ascii="宋体" w:hAnsi="宋体"/>
          <w:sz w:val="28"/>
          <w:szCs w:val="28"/>
          <w:lang w:val="en-US" w:eastAsia="zh-CN"/>
        </w:rPr>
        <w:t>953.4</w:t>
      </w:r>
      <w:r>
        <w:rPr>
          <w:rFonts w:hint="eastAsia" w:ascii="宋体" w:hAnsi="宋体"/>
          <w:sz w:val="28"/>
          <w:szCs w:val="28"/>
        </w:rPr>
        <w:t>万元，占</w:t>
      </w:r>
      <w:r>
        <w:rPr>
          <w:rFonts w:hint="eastAsia" w:ascii="宋体" w:hAnsi="宋体"/>
          <w:sz w:val="28"/>
          <w:szCs w:val="28"/>
          <w:lang w:val="en-US" w:eastAsia="zh-CN"/>
        </w:rPr>
        <w:t>34.25</w:t>
      </w:r>
      <w:r>
        <w:rPr>
          <w:rFonts w:hint="eastAsia" w:ascii="宋体" w:hAnsi="宋体"/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支出决算情况说明</w:t>
      </w:r>
    </w:p>
    <w:p>
      <w:pPr>
        <w:ind w:firstLine="63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本部门201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 xml:space="preserve">年度支出总计 </w:t>
      </w:r>
      <w:r>
        <w:rPr>
          <w:rFonts w:hint="eastAsia" w:ascii="宋体" w:hAnsi="宋体"/>
          <w:sz w:val="28"/>
          <w:szCs w:val="28"/>
          <w:lang w:val="en-US" w:eastAsia="zh-CN"/>
        </w:rPr>
        <w:t>5601.94</w:t>
      </w:r>
      <w:r>
        <w:rPr>
          <w:rFonts w:hint="eastAsia" w:ascii="宋体" w:hAnsi="宋体"/>
          <w:sz w:val="28"/>
          <w:szCs w:val="28"/>
        </w:rPr>
        <w:t xml:space="preserve">万元，其中本年支出合计 </w:t>
      </w:r>
      <w:r>
        <w:rPr>
          <w:rFonts w:hint="eastAsia" w:ascii="宋体" w:hAnsi="宋体"/>
          <w:sz w:val="28"/>
          <w:szCs w:val="28"/>
          <w:lang w:val="en-US" w:eastAsia="zh-CN"/>
        </w:rPr>
        <w:t>5601.94</w:t>
      </w:r>
      <w:r>
        <w:rPr>
          <w:rFonts w:hint="eastAsia" w:ascii="宋体" w:hAnsi="宋体"/>
          <w:sz w:val="28"/>
          <w:szCs w:val="28"/>
        </w:rPr>
        <w:t>万元，较上年</w:t>
      </w:r>
      <w:r>
        <w:rPr>
          <w:rFonts w:hint="eastAsia" w:ascii="宋体" w:hAnsi="宋体"/>
          <w:sz w:val="28"/>
          <w:szCs w:val="28"/>
          <w:lang w:eastAsia="zh-CN"/>
        </w:rPr>
        <w:t>增长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13.2</w:t>
      </w:r>
      <w:r>
        <w:rPr>
          <w:rFonts w:hint="eastAsia" w:ascii="宋体" w:hAnsi="宋体"/>
          <w:sz w:val="28"/>
          <w:szCs w:val="28"/>
        </w:rPr>
        <w:t>%，主要原因是：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人员工资增加，教育支出等各项支出略有增长。</w:t>
      </w:r>
      <w:r>
        <w:rPr>
          <w:rFonts w:hint="eastAsia" w:ascii="宋体" w:hAnsi="宋体"/>
          <w:sz w:val="28"/>
          <w:szCs w:val="28"/>
        </w:rPr>
        <w:t>年末无结转和结余。</w:t>
      </w:r>
    </w:p>
    <w:p>
      <w:pPr>
        <w:ind w:firstLine="63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宋体" w:hAnsi="宋体"/>
          <w:sz w:val="28"/>
          <w:szCs w:val="28"/>
        </w:rPr>
        <w:t>本年支出的具体构成为：</w:t>
      </w:r>
      <w:r>
        <w:rPr>
          <w:rFonts w:hint="eastAsia" w:ascii="宋体" w:hAnsi="宋体"/>
          <w:sz w:val="28"/>
          <w:szCs w:val="28"/>
          <w:lang w:eastAsia="zh-CN"/>
        </w:rPr>
        <w:t>教育支出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4711.51</w:t>
      </w:r>
      <w:r>
        <w:rPr>
          <w:rFonts w:hint="eastAsia" w:ascii="宋体" w:hAnsi="宋体"/>
          <w:sz w:val="28"/>
          <w:szCs w:val="28"/>
        </w:rPr>
        <w:t xml:space="preserve"> 万元，占</w:t>
      </w:r>
      <w:r>
        <w:rPr>
          <w:rFonts w:hint="eastAsia" w:ascii="宋体" w:hAnsi="宋体"/>
          <w:sz w:val="28"/>
          <w:szCs w:val="28"/>
          <w:lang w:val="en-US" w:eastAsia="zh-CN"/>
        </w:rPr>
        <w:t>84.1%</w:t>
      </w:r>
      <w:r>
        <w:rPr>
          <w:rFonts w:hint="eastAsia" w:ascii="宋体" w:hAnsi="宋体"/>
          <w:sz w:val="28"/>
          <w:szCs w:val="28"/>
          <w:lang w:eastAsia="zh-CN"/>
        </w:rPr>
        <w:t>；社会保障和就业支出</w:t>
      </w:r>
      <w:r>
        <w:rPr>
          <w:rFonts w:hint="eastAsia" w:ascii="宋体" w:hAnsi="宋体"/>
          <w:sz w:val="28"/>
          <w:szCs w:val="28"/>
          <w:lang w:val="en-US" w:eastAsia="zh-CN"/>
        </w:rPr>
        <w:t>483.91万元，占8.6%；医疗卫生与计划生育支出127.59万元，占2.7%；住房保障支出278.93万元，占4.6%。</w:t>
      </w:r>
    </w:p>
    <w:p>
      <w:pPr>
        <w:widowControl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财政拨款支出决算情况说明</w:t>
      </w:r>
    </w:p>
    <w:p>
      <w:pPr>
        <w:ind w:firstLine="63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本部门201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年度财政拨款支出年初预算数为</w:t>
      </w:r>
      <w:r>
        <w:rPr>
          <w:rFonts w:hint="eastAsia" w:ascii="宋体" w:hAnsi="宋体"/>
          <w:sz w:val="28"/>
          <w:szCs w:val="28"/>
          <w:lang w:val="en-US" w:eastAsia="zh-CN"/>
        </w:rPr>
        <w:t>2824.75</w:t>
      </w:r>
      <w:r>
        <w:rPr>
          <w:rFonts w:hint="eastAsia" w:ascii="宋体" w:hAnsi="宋体"/>
          <w:sz w:val="28"/>
          <w:szCs w:val="28"/>
        </w:rPr>
        <w:t>万元，决算数为</w:t>
      </w:r>
      <w:r>
        <w:rPr>
          <w:rFonts w:hint="eastAsia" w:ascii="宋体" w:hAnsi="宋体"/>
          <w:sz w:val="28"/>
          <w:szCs w:val="28"/>
          <w:lang w:val="en-US" w:eastAsia="zh-CN"/>
        </w:rPr>
        <w:t>3585.73</w:t>
      </w:r>
      <w:r>
        <w:rPr>
          <w:rFonts w:hint="eastAsia" w:ascii="宋体" w:hAnsi="宋体"/>
          <w:sz w:val="28"/>
          <w:szCs w:val="28"/>
        </w:rPr>
        <w:t>万元，完成年初预算的</w:t>
      </w:r>
      <w:r>
        <w:rPr>
          <w:rFonts w:hint="eastAsia" w:ascii="宋体" w:hAnsi="宋体"/>
          <w:sz w:val="28"/>
          <w:szCs w:val="28"/>
          <w:lang w:val="en-US" w:eastAsia="zh-CN"/>
        </w:rPr>
        <w:t>127</w:t>
      </w:r>
      <w:r>
        <w:rPr>
          <w:rFonts w:hint="eastAsia" w:ascii="宋体" w:hAnsi="宋体"/>
          <w:sz w:val="28"/>
          <w:szCs w:val="28"/>
        </w:rPr>
        <w:t>%，主要原因是：</w:t>
      </w:r>
      <w:r>
        <w:rPr>
          <w:rFonts w:hint="eastAsia" w:ascii="宋体" w:hAnsi="宋体"/>
          <w:b w:val="0"/>
          <w:bCs w:val="0"/>
          <w:sz w:val="28"/>
          <w:szCs w:val="28"/>
        </w:rPr>
        <w:t>人员工资增加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，教育支出等各项支出略有增长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3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宋体" w:hAnsi="宋体"/>
          <w:sz w:val="28"/>
          <w:szCs w:val="28"/>
        </w:rPr>
        <w:t>按功能分类科目分：教育支出年初预算数为</w:t>
      </w:r>
      <w:r>
        <w:rPr>
          <w:rFonts w:hint="eastAsia" w:ascii="宋体" w:hAnsi="宋体"/>
          <w:sz w:val="28"/>
          <w:szCs w:val="28"/>
          <w:lang w:val="en-US" w:eastAsia="zh-CN"/>
        </w:rPr>
        <w:t>1962.62</w:t>
      </w:r>
      <w:r>
        <w:rPr>
          <w:rFonts w:hint="eastAsia" w:ascii="宋体" w:hAnsi="宋体"/>
          <w:sz w:val="28"/>
          <w:szCs w:val="28"/>
        </w:rPr>
        <w:t>万元，决算数为</w:t>
      </w:r>
      <w:r>
        <w:rPr>
          <w:rFonts w:hint="eastAsia" w:ascii="宋体" w:hAnsi="宋体"/>
          <w:sz w:val="28"/>
          <w:szCs w:val="28"/>
          <w:lang w:val="en-US" w:eastAsia="zh-CN"/>
        </w:rPr>
        <w:t>2695.29</w:t>
      </w:r>
      <w:r>
        <w:rPr>
          <w:rFonts w:hint="eastAsia" w:ascii="宋体" w:hAnsi="宋体"/>
          <w:sz w:val="28"/>
          <w:szCs w:val="28"/>
        </w:rPr>
        <w:t>万元，完成年初预算的</w:t>
      </w:r>
      <w:r>
        <w:rPr>
          <w:rFonts w:hint="eastAsia" w:ascii="宋体" w:hAnsi="宋体"/>
          <w:sz w:val="28"/>
          <w:szCs w:val="28"/>
          <w:lang w:val="en-US" w:eastAsia="zh-CN"/>
        </w:rPr>
        <w:t>137.3</w:t>
      </w:r>
      <w:r>
        <w:rPr>
          <w:rFonts w:hint="eastAsia" w:ascii="宋体" w:hAnsi="宋体"/>
          <w:sz w:val="28"/>
          <w:szCs w:val="28"/>
        </w:rPr>
        <w:t>%；社会保障和就业支出年初预算数为</w:t>
      </w:r>
      <w:r>
        <w:rPr>
          <w:rFonts w:hint="eastAsia" w:ascii="宋体" w:hAnsi="宋体"/>
          <w:sz w:val="28"/>
          <w:szCs w:val="28"/>
          <w:lang w:val="en-US" w:eastAsia="zh-CN"/>
        </w:rPr>
        <w:t>461.75</w:t>
      </w:r>
      <w:r>
        <w:rPr>
          <w:rFonts w:hint="eastAsia" w:ascii="宋体" w:hAnsi="宋体"/>
          <w:sz w:val="28"/>
          <w:szCs w:val="28"/>
        </w:rPr>
        <w:t>万元,决算数为</w:t>
      </w:r>
      <w:r>
        <w:rPr>
          <w:rFonts w:hint="eastAsia" w:ascii="宋体" w:hAnsi="宋体"/>
          <w:sz w:val="28"/>
          <w:szCs w:val="28"/>
          <w:lang w:val="en-US" w:eastAsia="zh-CN"/>
        </w:rPr>
        <w:t>483.92</w:t>
      </w:r>
      <w:r>
        <w:rPr>
          <w:rFonts w:hint="eastAsia" w:ascii="宋体" w:hAnsi="宋体"/>
          <w:sz w:val="28"/>
          <w:szCs w:val="28"/>
        </w:rPr>
        <w:t>万元，完成年初预算的</w:t>
      </w:r>
      <w:r>
        <w:rPr>
          <w:rFonts w:hint="eastAsia" w:ascii="宋体" w:hAnsi="宋体"/>
          <w:sz w:val="28"/>
          <w:szCs w:val="28"/>
          <w:lang w:val="en-US" w:eastAsia="zh-CN"/>
        </w:rPr>
        <w:t>104.9</w:t>
      </w:r>
      <w:r>
        <w:rPr>
          <w:rFonts w:hint="eastAsia" w:ascii="宋体" w:hAnsi="宋体"/>
          <w:sz w:val="28"/>
          <w:szCs w:val="28"/>
        </w:rPr>
        <w:t xml:space="preserve"> %；医疗卫生与计划生育支出预算数为</w:t>
      </w:r>
      <w:r>
        <w:rPr>
          <w:rFonts w:hint="eastAsia" w:ascii="宋体" w:hAnsi="宋体"/>
          <w:sz w:val="28"/>
          <w:szCs w:val="28"/>
          <w:lang w:val="en-US" w:eastAsia="zh-CN"/>
        </w:rPr>
        <w:t>127.59</w:t>
      </w:r>
      <w:r>
        <w:rPr>
          <w:rFonts w:hint="eastAsia" w:ascii="宋体" w:hAnsi="宋体"/>
          <w:sz w:val="28"/>
          <w:szCs w:val="28"/>
        </w:rPr>
        <w:t>万元,决算数为</w:t>
      </w:r>
      <w:r>
        <w:rPr>
          <w:rFonts w:hint="eastAsia" w:ascii="宋体" w:hAnsi="宋体"/>
          <w:sz w:val="28"/>
          <w:szCs w:val="28"/>
          <w:lang w:val="en-US" w:eastAsia="zh-CN"/>
        </w:rPr>
        <w:t>127.59</w:t>
      </w:r>
      <w:r>
        <w:rPr>
          <w:rFonts w:hint="eastAsia" w:ascii="宋体" w:hAnsi="宋体"/>
          <w:sz w:val="28"/>
          <w:szCs w:val="28"/>
        </w:rPr>
        <w:t>万元，完成年初预算的</w:t>
      </w:r>
      <w:r>
        <w:rPr>
          <w:rFonts w:hint="eastAsia" w:ascii="宋体" w:hAnsi="宋体"/>
          <w:sz w:val="28"/>
          <w:szCs w:val="28"/>
          <w:lang w:val="en-US" w:eastAsia="zh-CN"/>
        </w:rPr>
        <w:t>100</w:t>
      </w:r>
      <w:r>
        <w:rPr>
          <w:rFonts w:hint="eastAsia" w:ascii="宋体" w:hAnsi="宋体"/>
          <w:sz w:val="28"/>
          <w:szCs w:val="28"/>
        </w:rPr>
        <w:t>%；住房保障支出预算数为</w:t>
      </w:r>
      <w:r>
        <w:rPr>
          <w:rFonts w:hint="eastAsia" w:ascii="宋体" w:hAnsi="宋体"/>
          <w:sz w:val="28"/>
          <w:szCs w:val="28"/>
          <w:lang w:val="en-US" w:eastAsia="zh-CN"/>
        </w:rPr>
        <w:t>272.79</w:t>
      </w:r>
      <w:r>
        <w:rPr>
          <w:rFonts w:hint="eastAsia" w:ascii="宋体" w:hAnsi="宋体"/>
          <w:sz w:val="28"/>
          <w:szCs w:val="28"/>
        </w:rPr>
        <w:t>万元,决算数为2</w:t>
      </w:r>
      <w:r>
        <w:rPr>
          <w:rFonts w:hint="eastAsia" w:ascii="宋体" w:hAnsi="宋体"/>
          <w:sz w:val="28"/>
          <w:szCs w:val="28"/>
          <w:lang w:val="en-US" w:eastAsia="zh-CN"/>
        </w:rPr>
        <w:t>78.93</w:t>
      </w:r>
      <w:r>
        <w:rPr>
          <w:rFonts w:hint="eastAsia" w:ascii="宋体" w:hAnsi="宋体"/>
          <w:sz w:val="28"/>
          <w:szCs w:val="28"/>
        </w:rPr>
        <w:t>万元,完成年初预算的</w:t>
      </w:r>
      <w:r>
        <w:rPr>
          <w:rFonts w:hint="eastAsia" w:ascii="宋体" w:hAnsi="宋体"/>
          <w:sz w:val="28"/>
          <w:szCs w:val="28"/>
          <w:lang w:val="en-US" w:eastAsia="zh-CN"/>
        </w:rPr>
        <w:t>102.2</w:t>
      </w:r>
      <w:r>
        <w:rPr>
          <w:rFonts w:hint="eastAsia" w:ascii="宋体" w:hAnsi="宋体"/>
          <w:sz w:val="28"/>
          <w:szCs w:val="28"/>
        </w:rPr>
        <w:t xml:space="preserve"> %。</w:t>
      </w:r>
    </w:p>
    <w:p>
      <w:pPr>
        <w:widowControl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一般公共预算财政拨款基本支出决算情况说明</w:t>
      </w:r>
    </w:p>
    <w:p>
      <w:pPr>
        <w:ind w:firstLine="63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本部门201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  <w:lang w:eastAsia="zh-CN"/>
        </w:rPr>
        <w:t>一般公共预算</w:t>
      </w:r>
      <w:r>
        <w:rPr>
          <w:rFonts w:hint="eastAsia" w:ascii="宋体" w:hAnsi="宋体"/>
          <w:sz w:val="28"/>
          <w:szCs w:val="28"/>
        </w:rPr>
        <w:t>财政拨款</w:t>
      </w:r>
      <w:r>
        <w:rPr>
          <w:rFonts w:hint="eastAsia" w:ascii="宋体" w:hAnsi="宋体"/>
          <w:sz w:val="28"/>
          <w:szCs w:val="28"/>
          <w:lang w:eastAsia="zh-CN"/>
        </w:rPr>
        <w:t>基本</w:t>
      </w:r>
      <w:r>
        <w:rPr>
          <w:rFonts w:hint="eastAsia" w:ascii="宋体" w:hAnsi="宋体"/>
          <w:sz w:val="28"/>
          <w:szCs w:val="28"/>
        </w:rPr>
        <w:t>支出</w:t>
      </w:r>
      <w:r>
        <w:rPr>
          <w:rFonts w:hint="eastAsia" w:ascii="宋体" w:hAnsi="宋体"/>
          <w:sz w:val="28"/>
          <w:szCs w:val="28"/>
          <w:lang w:val="en-US" w:eastAsia="zh-CN"/>
        </w:rPr>
        <w:t>3585.73</w:t>
      </w:r>
      <w:r>
        <w:rPr>
          <w:rFonts w:hint="eastAsia" w:ascii="宋体" w:hAnsi="宋体"/>
          <w:sz w:val="28"/>
          <w:szCs w:val="28"/>
        </w:rPr>
        <w:t>万元，完成年初预算的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127</w:t>
      </w:r>
      <w:r>
        <w:rPr>
          <w:rFonts w:hint="eastAsia" w:ascii="宋体" w:hAnsi="宋体"/>
          <w:sz w:val="28"/>
          <w:szCs w:val="28"/>
        </w:rPr>
        <w:t>%，主要原因是：</w:t>
      </w:r>
      <w:r>
        <w:rPr>
          <w:rFonts w:hint="eastAsia" w:ascii="宋体" w:hAnsi="宋体"/>
          <w:b w:val="0"/>
          <w:bCs w:val="0"/>
          <w:sz w:val="28"/>
          <w:szCs w:val="28"/>
        </w:rPr>
        <w:t>人员工资增加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其中</w:t>
      </w:r>
      <w:r>
        <w:rPr>
          <w:rFonts w:hint="eastAsia" w:ascii="宋体" w:hAnsi="宋体"/>
          <w:sz w:val="28"/>
          <w:szCs w:val="28"/>
          <w:lang w:val="en-US" w:eastAsia="zh-CN"/>
        </w:rPr>
        <w:t>:人员经费支出3358.88万元，占93.7%；公用支出226.85万元，占6.3%。</w:t>
      </w:r>
    </w:p>
    <w:p>
      <w:pPr>
        <w:ind w:firstLine="63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人员经费主要包括：工资福利支出3060.92万元，占91.1%；个人和家庭的补助297.96万元，占8.9%。</w:t>
      </w:r>
    </w:p>
    <w:p>
      <w:pPr>
        <w:ind w:firstLine="63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公用支出主要包括：商品服务支出226.85万元,占100%。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一般公共预算财政拨款“三公”经费支出决算情况说明</w:t>
      </w:r>
    </w:p>
    <w:p>
      <w:pPr>
        <w:ind w:firstLine="63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本部门201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hint="eastAsia" w:ascii="仿宋" w:hAnsi="仿宋" w:eastAsia="仿宋"/>
          <w:sz w:val="32"/>
          <w:szCs w:val="30"/>
        </w:rPr>
        <w:t>一般公共预算财政拨款“三公”经费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初</w:t>
      </w:r>
      <w:r>
        <w:rPr>
          <w:rFonts w:hint="eastAsia" w:ascii="宋体" w:hAnsi="宋体"/>
          <w:sz w:val="28"/>
          <w:szCs w:val="28"/>
        </w:rPr>
        <w:t>预算数为</w:t>
      </w:r>
      <w:r>
        <w:rPr>
          <w:rFonts w:hint="eastAsia" w:ascii="宋体" w:hAnsi="宋体"/>
          <w:sz w:val="28"/>
          <w:szCs w:val="28"/>
          <w:lang w:val="en-US" w:eastAsia="zh-CN"/>
        </w:rPr>
        <w:t>35</w:t>
      </w:r>
      <w:r>
        <w:rPr>
          <w:rFonts w:hint="eastAsia" w:ascii="宋体" w:hAnsi="宋体"/>
          <w:sz w:val="28"/>
          <w:szCs w:val="28"/>
        </w:rPr>
        <w:t>万元，决算数为</w:t>
      </w:r>
      <w:r>
        <w:rPr>
          <w:rFonts w:hint="eastAsia" w:ascii="宋体" w:hAnsi="宋体"/>
          <w:sz w:val="28"/>
          <w:szCs w:val="28"/>
          <w:lang w:val="en-US" w:eastAsia="zh-CN"/>
        </w:rPr>
        <w:t>7.04</w:t>
      </w:r>
      <w:r>
        <w:rPr>
          <w:rFonts w:hint="eastAsia" w:ascii="宋体" w:hAnsi="宋体"/>
          <w:sz w:val="28"/>
          <w:szCs w:val="28"/>
        </w:rPr>
        <w:t>万元，完成年初预算的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决算数较上年下降</w:t>
      </w:r>
      <w:r>
        <w:rPr>
          <w:rFonts w:hint="eastAsia" w:ascii="宋体" w:hAnsi="宋体"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  <w:lang w:eastAsia="zh-CN"/>
        </w:rPr>
        <w:t>。其中：</w:t>
      </w:r>
    </w:p>
    <w:p>
      <w:pPr>
        <w:ind w:firstLine="63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（一）因公出国（境）支出年初预算数为0万元，决算数为0  元，完成预算的0 %，决算数较上年下降100%。主要原因是：无出国费用列支。</w:t>
      </w:r>
    </w:p>
    <w:p>
      <w:pPr>
        <w:ind w:firstLine="63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（二）公务接待费支出年初预算数为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万元，决算数为</w:t>
      </w:r>
      <w:r>
        <w:rPr>
          <w:rFonts w:hint="eastAsia" w:ascii="宋体" w:hAnsi="宋体"/>
          <w:sz w:val="28"/>
          <w:szCs w:val="28"/>
          <w:lang w:val="en-US" w:eastAsia="zh-CN"/>
        </w:rPr>
        <w:t>0.05</w:t>
      </w:r>
      <w:r>
        <w:rPr>
          <w:rFonts w:hint="eastAsia" w:ascii="宋体" w:hAnsi="宋体"/>
          <w:sz w:val="28"/>
          <w:szCs w:val="28"/>
        </w:rPr>
        <w:t>万元，完成预算的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 %，决算数较上年下降</w:t>
      </w:r>
      <w:r>
        <w:rPr>
          <w:rFonts w:hint="eastAsia" w:ascii="宋体" w:hAnsi="宋体"/>
          <w:sz w:val="28"/>
          <w:szCs w:val="28"/>
          <w:lang w:val="en-US" w:eastAsia="zh-CN"/>
        </w:rPr>
        <w:t>95</w:t>
      </w:r>
      <w:r>
        <w:rPr>
          <w:rFonts w:hint="eastAsia" w:ascii="宋体" w:hAnsi="宋体"/>
          <w:sz w:val="28"/>
          <w:szCs w:val="28"/>
        </w:rPr>
        <w:t xml:space="preserve"> %。主要原因是：节省公务接待费开支。</w:t>
      </w:r>
    </w:p>
    <w:p>
      <w:pPr>
        <w:ind w:firstLine="630"/>
        <w:jc w:val="left"/>
        <w:rPr>
          <w:rFonts w:hint="eastAsia" w:ascii="仿宋" w:hAnsi="仿宋" w:eastAsia="宋体"/>
          <w:sz w:val="32"/>
          <w:szCs w:val="30"/>
          <w:lang w:eastAsia="zh-CN"/>
        </w:rPr>
      </w:pPr>
      <w:r>
        <w:rPr>
          <w:rFonts w:hint="eastAsia" w:ascii="宋体" w:hAnsi="宋体"/>
          <w:sz w:val="28"/>
          <w:szCs w:val="28"/>
        </w:rPr>
        <w:t>（三）公务用车购置及运行维护费支出</w:t>
      </w:r>
      <w:r>
        <w:rPr>
          <w:rFonts w:hint="eastAsia" w:ascii="宋体" w:hAnsi="宋体"/>
          <w:sz w:val="28"/>
          <w:szCs w:val="28"/>
          <w:lang w:val="en-US" w:eastAsia="zh-CN"/>
        </w:rPr>
        <w:t>6.99</w:t>
      </w:r>
      <w:r>
        <w:rPr>
          <w:rFonts w:hint="eastAsia" w:ascii="宋体" w:hAnsi="宋体"/>
          <w:sz w:val="28"/>
          <w:szCs w:val="28"/>
        </w:rPr>
        <w:t>万元，其中公务用车购置年初预算数为0万元，决算数为 0万元，完成预算的0 %，决算数较上年下降0 %。主要原因是：201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 xml:space="preserve">年未购置公车；公务用车运行维护费支出年初预算数为 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 xml:space="preserve"> 万元，决算数为  </w:t>
      </w:r>
      <w:r>
        <w:rPr>
          <w:rFonts w:hint="eastAsia" w:ascii="宋体" w:hAnsi="宋体"/>
          <w:sz w:val="28"/>
          <w:szCs w:val="28"/>
          <w:lang w:val="en-US" w:eastAsia="zh-CN"/>
        </w:rPr>
        <w:t>6.99</w:t>
      </w:r>
      <w:r>
        <w:rPr>
          <w:rFonts w:hint="eastAsia" w:ascii="宋体" w:hAnsi="宋体"/>
          <w:sz w:val="28"/>
          <w:szCs w:val="28"/>
        </w:rPr>
        <w:t>万元，完成预算的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%，决算数较上年下降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34.6</w:t>
      </w:r>
      <w:r>
        <w:rPr>
          <w:rFonts w:hint="eastAsia" w:ascii="宋体" w:hAnsi="宋体"/>
          <w:sz w:val="28"/>
          <w:szCs w:val="28"/>
        </w:rPr>
        <w:t>%。主要原因是：厉行节约,紧缩公务用车费用列支。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六、机关运行经费支出情况说明</w:t>
      </w:r>
    </w:p>
    <w:p>
      <w:pPr>
        <w:ind w:firstLine="63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本部门201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年度机关运行经费</w:t>
      </w:r>
      <w:r>
        <w:rPr>
          <w:rFonts w:hint="eastAsia" w:ascii="宋体" w:hAnsi="宋体"/>
          <w:sz w:val="28"/>
          <w:szCs w:val="28"/>
          <w:lang w:val="en-US" w:eastAsia="zh-CN"/>
        </w:rPr>
        <w:t>226.85</w:t>
      </w:r>
      <w:r>
        <w:rPr>
          <w:rFonts w:hint="eastAsia" w:ascii="宋体" w:hAnsi="宋体"/>
          <w:sz w:val="28"/>
          <w:szCs w:val="28"/>
        </w:rPr>
        <w:t>万元，较上年下降</w:t>
      </w:r>
      <w:r>
        <w:rPr>
          <w:rFonts w:hint="eastAsia" w:ascii="宋体" w:hAnsi="宋体"/>
          <w:sz w:val="28"/>
          <w:szCs w:val="28"/>
          <w:lang w:val="en-US" w:eastAsia="zh-CN"/>
        </w:rPr>
        <w:t>43</w:t>
      </w:r>
      <w:r>
        <w:rPr>
          <w:rFonts w:hint="eastAsia" w:ascii="宋体" w:hAnsi="宋体"/>
          <w:sz w:val="28"/>
          <w:szCs w:val="28"/>
        </w:rPr>
        <w:t>%，主要原因是：厉行节约,紧缩各项机关运行经费用列支。</w:t>
      </w:r>
    </w:p>
    <w:p>
      <w:pPr>
        <w:ind w:firstLine="63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eastAsia="zh-CN"/>
        </w:rPr>
        <w:t>七、</w:t>
      </w:r>
      <w:r>
        <w:rPr>
          <w:rFonts w:hint="eastAsia" w:ascii="仿宋" w:hAnsi="仿宋" w:eastAsia="仿宋"/>
          <w:sz w:val="32"/>
          <w:szCs w:val="30"/>
        </w:rPr>
        <w:t>政府采购支出情况说明</w:t>
      </w:r>
    </w:p>
    <w:p>
      <w:pPr>
        <w:spacing w:line="60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本部门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年度政府采购支出总额</w:t>
      </w:r>
      <w:r>
        <w:rPr>
          <w:rFonts w:hint="eastAsia" w:ascii="宋体" w:hAnsi="宋体"/>
          <w:sz w:val="28"/>
          <w:szCs w:val="28"/>
          <w:lang w:val="en-US" w:eastAsia="zh-CN"/>
        </w:rPr>
        <w:t>5.5</w:t>
      </w:r>
      <w:r>
        <w:rPr>
          <w:rFonts w:hint="eastAsia" w:ascii="宋体" w:hAnsi="宋体"/>
          <w:sz w:val="28"/>
          <w:szCs w:val="28"/>
        </w:rPr>
        <w:t>万元，其中：政府采购货物支出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万元、政府采购工程支出0万元、政府采购服务支出</w:t>
      </w:r>
      <w:r>
        <w:rPr>
          <w:rFonts w:hint="eastAsia" w:ascii="宋体" w:hAnsi="宋体"/>
          <w:sz w:val="28"/>
          <w:szCs w:val="28"/>
          <w:lang w:val="en-US" w:eastAsia="zh-CN"/>
        </w:rPr>
        <w:t>5.5</w:t>
      </w:r>
      <w:r>
        <w:rPr>
          <w:rFonts w:hint="eastAsia" w:ascii="宋体" w:hAnsi="宋体"/>
          <w:sz w:val="28"/>
          <w:szCs w:val="28"/>
        </w:rPr>
        <w:t>万元。</w:t>
      </w:r>
    </w:p>
    <w:p>
      <w:pPr>
        <w:widowControl/>
        <w:numPr>
          <w:ilvl w:val="0"/>
          <w:numId w:val="2"/>
        </w:numPr>
        <w:spacing w:line="600" w:lineRule="exact"/>
        <w:ind w:left="800" w:leftChars="0" w:firstLine="0" w:firstLineChars="0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预算绩效情况说明</w:t>
      </w:r>
    </w:p>
    <w:p>
      <w:pPr>
        <w:pStyle w:val="4"/>
        <w:spacing w:before="0" w:beforeAutospacing="0" w:after="0" w:afterAutospacing="0" w:line="240" w:lineRule="atLeast"/>
        <w:ind w:firstLine="56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/>
          <w:kern w:val="2"/>
          <w:sz w:val="28"/>
          <w:szCs w:val="28"/>
        </w:rPr>
        <w:t>本部门能够根据文件要求，依法有效地使用财政资金，提高财政资金使用效率，在完成部门职能目标中合理分配人、财、物，使之达到较高的使用效率和实施效果，财政收支预算执行得到了较好的制度保障。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黑体" w:hAnsi="黑体" w:eastAsia="黑体"/>
          <w:sz w:val="32"/>
          <w:szCs w:val="32"/>
        </w:rPr>
        <w:t>第四部分  名词解释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(一）财政拨款：指市级财政当年拨付的资金。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（二）事业收入：指事业单位开展专业业务活动及辅助活动取得的收入。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（三）行政运行：反映行政单位（包括参公单位）的基本支出。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四）“三公经费”：反映财政拨款安排的因公出国（境）费、公务用车购置及运行费和公务接待费。其中，因公出国（境）费反映单位公务出国（境）的国际旅费、国外城市交通费、住宿费、伙食费、培训费、公杂费等支出；公务用车购置及运行费反映单位公务车辆购置支出（含车辆购置税）及租用费、燃料费、维修费、过桥过路费、保险费、安全奖励费用等支出；公务接待费反映单位按规定开支的各类公务接待（含外宾接待）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五）机关运行经费：为保障行政单位（含参照公务员法管理的事业单位）运行用于购买货物和服务的各项资金，包括办公及印刷费、邮电费、差旅费、会议费、福利费、日常维修费、专用材料及一般购置费、办公用房水电费、办公用房取暖费、办公用房物业管理费及其他费用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单位负责人（签字）：吴放其</w:t>
      </w:r>
    </w:p>
    <w:p>
      <w:pPr>
        <w:ind w:firstLine="1120" w:firstLineChars="40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ind w:firstLine="1120" w:firstLineChars="4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2018 年 10  月 11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64DBF"/>
    <w:multiLevelType w:val="singleLevel"/>
    <w:tmpl w:val="8C764D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E80730"/>
    <w:multiLevelType w:val="singleLevel"/>
    <w:tmpl w:val="3AE80730"/>
    <w:lvl w:ilvl="0" w:tentative="0">
      <w:start w:val="8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57BC8"/>
    <w:rsid w:val="03485FA8"/>
    <w:rsid w:val="054800C3"/>
    <w:rsid w:val="0602297E"/>
    <w:rsid w:val="07157BC1"/>
    <w:rsid w:val="0A13175C"/>
    <w:rsid w:val="0A7D6328"/>
    <w:rsid w:val="0AAF6826"/>
    <w:rsid w:val="0D761829"/>
    <w:rsid w:val="0F703A3F"/>
    <w:rsid w:val="1001390A"/>
    <w:rsid w:val="104B6554"/>
    <w:rsid w:val="1BAE19EE"/>
    <w:rsid w:val="1E7E5709"/>
    <w:rsid w:val="1F98724E"/>
    <w:rsid w:val="234A324A"/>
    <w:rsid w:val="23DE47A5"/>
    <w:rsid w:val="2742488D"/>
    <w:rsid w:val="2AEC29B8"/>
    <w:rsid w:val="2CC57BC8"/>
    <w:rsid w:val="2CFD41B3"/>
    <w:rsid w:val="2D816EBE"/>
    <w:rsid w:val="310A276C"/>
    <w:rsid w:val="32F91EFD"/>
    <w:rsid w:val="344D0E14"/>
    <w:rsid w:val="37254F58"/>
    <w:rsid w:val="3B251866"/>
    <w:rsid w:val="410F3F9E"/>
    <w:rsid w:val="426506BB"/>
    <w:rsid w:val="44792E0B"/>
    <w:rsid w:val="44CB35CC"/>
    <w:rsid w:val="46096A92"/>
    <w:rsid w:val="47B22C91"/>
    <w:rsid w:val="47E62CCA"/>
    <w:rsid w:val="49397175"/>
    <w:rsid w:val="4B8257E7"/>
    <w:rsid w:val="55755512"/>
    <w:rsid w:val="57DA1B6C"/>
    <w:rsid w:val="58D534C2"/>
    <w:rsid w:val="5C384A1A"/>
    <w:rsid w:val="60A0283A"/>
    <w:rsid w:val="60AD6E0C"/>
    <w:rsid w:val="61EA4A13"/>
    <w:rsid w:val="64D214C1"/>
    <w:rsid w:val="652C44AF"/>
    <w:rsid w:val="67BE43C7"/>
    <w:rsid w:val="67E66D57"/>
    <w:rsid w:val="68C16FF0"/>
    <w:rsid w:val="68D21A28"/>
    <w:rsid w:val="694E6095"/>
    <w:rsid w:val="69CE7360"/>
    <w:rsid w:val="69ED070B"/>
    <w:rsid w:val="6B9460E7"/>
    <w:rsid w:val="6D535020"/>
    <w:rsid w:val="6E831ED9"/>
    <w:rsid w:val="71543B5B"/>
    <w:rsid w:val="75A72606"/>
    <w:rsid w:val="76275D20"/>
    <w:rsid w:val="7A4F653D"/>
    <w:rsid w:val="7B3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2018-10-09T06:39:00Z</dcterms:created>
  <dc:creator>Administrator</dc:creator>
  <cp:lastModifiedBy>Administrator</cp:lastModifiedBy>
  <cp:lastPrinted>2018-10-11T02:09:00Z</cp:lastPrinted>
  <dcterms:modified xsi:type="dcterms:W3CDTF">2018-10-11T08:04:48Z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